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差旅补助自动计算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04｜基础层｜建议2课时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面向“流程逻辑与数据处理”的实操训练。学生在完成可运行流程的同时，形成规则意识、结果核验和异常处理习惯。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流程逻辑与数据处理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基础｜2课时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出差人员的起止日期不同，人工计算补助容易漏算或套错标准。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请依据给定材料和规则，设计并运行自动化流程，完成“读取两表→匹配人员标准→计算天数→计算补助→标记异常→输出补助核算表。”。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输入：出差信息.xlsx、人员标准.xlsx；字段：姓名、职级、出发日期、返回日期、目的地、日标准。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补助天数以审批或有效行程确定；天数小于1、返回早于出发、标准缺失时进入异常。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步骤1：读取两表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围绕“读取两表”完成必要的参数设置、数据处理或流程配置；运行后保留关键截图、日志或中间结果，便于后续核验。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步骤2：匹配人员标准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围绕“匹配人员标准”完成必要的参数设置、数据处理或流程配置；运行后保留关键截图、日志或中间结果，便于后续核验。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步骤3：计算天数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围绕“计算天数”完成必要的参数设置、数据处理或流程配置；运行后保留关键截图、日志或中间结果，便于后续核验。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步骤4：计算补助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围绕“计算补助”完成必要的参数设置、数据处理或流程配置；运行后保留关键截图、日志或中间结果，便于后续核验。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步骤5：标记异常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围绕“标记异常”完成必要的参数设置、数据处理或流程配置；运行后保留关键截图、日志或中间结果，便于后续核验。</w:t>
      </w:r>
    </w:p>
    <w:p>
      <w:pPr>
        <w:pStyle w:val="Heading3"/>
      </w:pPr>
      <w:r>
        <w:t>步骤6：输出补助核算表。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围绕“输出补助核算表。”完成必要的参数设置、数据处理或流程配置；运行后保留关键截图、日志或中间结果，便于后续核验。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差旅补助核算表、异常清单、计算说明。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增加半天补助或不同城市标准，比较规则参数化前后的修改成本。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04｜基础｜建议2课时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