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560" w:after="120"/>
        <w:jc w:val="center"/>
      </w:pPr>
      <w:r>
        <w:rPr>
          <w:rFonts w:ascii="等线" w:hAnsi="等线" w:eastAsia="等线"/>
          <w:b/>
          <w:color w:val="2E74B5"/>
          <w:sz w:val="44"/>
        </w:rPr>
        <w:t>报销单据完整性检查</w:t>
      </w:r>
    </w:p>
    <w:p>
      <w:pPr>
        <w:spacing w:before="0" w:after="280" w:line="300" w:lineRule="auto"/>
        <w:jc w:val="center"/>
      </w:pPr>
      <w:r>
        <w:rPr>
          <w:rFonts w:ascii="等线" w:hAnsi="等线" w:eastAsia="等线"/>
          <w:b/>
          <w:color w:val="1F4D78"/>
          <w:sz w:val="22"/>
        </w:rPr>
        <w:t>实践案例 05｜基础层｜建议2课时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案例定位：</w:t>
            </w:r>
            <w:r>
              <w:rPr>
                <w:rFonts w:ascii="等线" w:hAnsi="等线" w:eastAsia="等线"/>
                <w:b w:val="0"/>
                <w:sz w:val="21"/>
              </w:rPr>
              <w:t>面向“流程逻辑与文件处理”的实操训练。学生在完成可运行流程的同时，形成规则意识、结果核验和异常处理习惯。</w:t>
            </w:r>
          </w:p>
        </w:tc>
      </w:tr>
    </w:tbl>
    <w:p>
      <w:pPr>
        <w:pStyle w:val="Heading1"/>
      </w:pPr>
      <w:r>
        <w:t>一、案例基本信息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2498"/>
        <w:gridCol w:w="2498"/>
        <w:gridCol w:w="2498"/>
        <w:gridCol w:w="2498"/>
      </w:tblGrid>
      <w:tr>
        <w:tc>
          <w:tcPr>
            <w:tcW w:type="dxa" w:w="2498"/>
            <w:tcW w:w="2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项目模块</w:t>
            </w:r>
          </w:p>
        </w:tc>
        <w:tc>
          <w:tcPr>
            <w:tcW w:type="dxa" w:w="2498"/>
            <w:tcW w:w="185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课程目标</w:t>
            </w:r>
          </w:p>
        </w:tc>
        <w:tc>
          <w:tcPr>
            <w:tcW w:type="dxa" w:w="2498"/>
            <w:tcW w:w="25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主要工具</w:t>
            </w:r>
          </w:p>
        </w:tc>
        <w:tc>
          <w:tcPr>
            <w:tcW w:type="dxa" w:w="2498"/>
            <w:tcW w:w="21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难度与课时</w:t>
            </w:r>
          </w:p>
        </w:tc>
      </w:tr>
      <w:tr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流程逻辑与文件处理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CO1、CO3、CO4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APA、Excel</w:t>
            </w:r>
          </w:p>
        </w:tc>
        <w:tc>
          <w:tcPr>
            <w:tcW w:type="dxa" w:w="2498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基础｜2课时</w:t>
            </w:r>
          </w:p>
        </w:tc>
      </w:tr>
    </w:tbl>
    <w:p>
      <w:pPr>
        <w:spacing w:after="40"/>
      </w:pPr>
    </w:p>
    <w:p>
      <w:pPr>
        <w:pStyle w:val="Heading1"/>
      </w:pPr>
      <w:r>
        <w:t>二、工作情境与任务</w:t>
      </w: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5F7FA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岗位情境：</w:t>
            </w:r>
            <w:r>
              <w:rPr>
                <w:rFonts w:ascii="等线" w:hAnsi="等线" w:eastAsia="等线"/>
                <w:b w:val="0"/>
                <w:sz w:val="21"/>
              </w:rPr>
              <w:t>每笔费用都应有相应附件，但人工逐项核对效率低。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工作任务：</w:t>
            </w:r>
            <w:r>
              <w:rPr>
                <w:rFonts w:ascii="等线" w:hAnsi="等线" w:eastAsia="等线"/>
                <w:b w:val="0"/>
                <w:sz w:val="21"/>
              </w:rPr>
              <w:t>请依据给定材料和规则，设计并运行自动化流程，完成“读取申请数据→扫描附件→按申请单号匹配→判断材料是否齐全→生成待补充清单。”。</w:t>
            </w:r>
          </w:p>
        </w:tc>
      </w:tr>
    </w:tbl>
    <w:p>
      <w:pPr>
        <w:pStyle w:val="Heading1"/>
      </w:pPr>
      <w:r>
        <w:t>三、学习成果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业务理解：</w:t>
      </w:r>
      <w:r>
        <w:rPr>
          <w:rFonts w:ascii="等线" w:hAnsi="等线" w:eastAsia="等线"/>
          <w:b w:val="0"/>
          <w:sz w:val="21"/>
        </w:rPr>
        <w:t>能够说明本任务的输入、处理规则、输出结果与需人工介入的异常。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技术实施：</w:t>
      </w:r>
      <w:r>
        <w:rPr>
          <w:rFonts w:ascii="等线" w:hAnsi="等线" w:eastAsia="等线"/>
          <w:b w:val="0"/>
          <w:sz w:val="21"/>
        </w:rPr>
        <w:t>能够使用APA及配套工具完成数据读取、规则判断、结果输出和基本日志记录。</w:t>
      </w:r>
    </w:p>
    <w:p>
      <w:pPr>
        <w:spacing w:after="80" w:line="288" w:lineRule="auto"/>
      </w:pPr>
      <w:r>
        <w:rPr>
          <w:rFonts w:ascii="等线" w:hAnsi="等线" w:eastAsia="等线"/>
          <w:b/>
          <w:color w:val="1F4D78"/>
          <w:sz w:val="21"/>
        </w:rPr>
        <w:t>质量控制：</w:t>
      </w:r>
      <w:r>
        <w:rPr>
          <w:rFonts w:ascii="等线" w:hAnsi="等线" w:eastAsia="等线"/>
          <w:b w:val="0"/>
          <w:sz w:val="21"/>
        </w:rPr>
        <w:t>能够使用正常、边界或异常数据核验结果，并说明问题处理依据。</w:t>
      </w:r>
    </w:p>
    <w:p>
      <w:pPr>
        <w:pStyle w:val="Heading1"/>
      </w:pPr>
      <w:r>
        <w:t>四、素材包与业务规则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素材包建议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最小字段或内容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输入资料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输入：报销申请数据.xlsx和票据文件夹；字段：申请单号、费用类别、金额、应附单据类型。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规则依据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交通费应有车票或行程凭证；住宿费应有发票；缺少对应材料仅提示“待补充”，不直接判定不合规。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建议数据量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基础案例10—20条记录；典型/综合案例20—50条记录，并至少设置2—3条异常数据。</w:t>
            </w:r>
          </w:p>
        </w:tc>
      </w:tr>
    </w:tbl>
    <w:p>
      <w:pPr>
        <w:spacing w:after="40"/>
      </w:pPr>
    </w:p>
    <w:p>
      <w:pPr>
        <w:pStyle w:val="Heading1"/>
      </w:pPr>
      <w:r>
        <w:t>五、实操任务路径</w:t>
      </w:r>
    </w:p>
    <w:p>
      <w:pPr>
        <w:pStyle w:val="Heading3"/>
      </w:pPr>
      <w:r>
        <w:t>步骤1：读取申请数据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围绕“读取申请数据”完成必要的参数设置、数据处理或流程配置；运行后保留关键截图、日志或中间结果，便于后续核验。</w:t>
      </w:r>
    </w:p>
    <w:p>
      <w:pPr>
        <w:pStyle w:val="Heading3"/>
      </w:pPr>
      <w:r>
        <w:t>步骤2：扫描附件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围绕“扫描附件”完成必要的参数设置、数据处理或流程配置；运行后保留关键截图、日志或中间结果，便于后续核验。</w:t>
      </w:r>
    </w:p>
    <w:p>
      <w:pPr>
        <w:pStyle w:val="Heading3"/>
      </w:pPr>
      <w:r>
        <w:t>步骤3：按申请单号匹配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围绕“按申请单号匹配”完成必要的参数设置、数据处理或流程配置；运行后保留关键截图、日志或中间结果，便于后续核验。</w:t>
      </w:r>
    </w:p>
    <w:p>
      <w:pPr>
        <w:pStyle w:val="Heading3"/>
      </w:pPr>
      <w:r>
        <w:t>步骤4：判断材料是否齐全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围绕“判断材料是否齐全”完成必要的参数设置、数据处理或流程配置；运行后保留关键截图、日志或中间结果，便于后续核验。</w:t>
      </w:r>
    </w:p>
    <w:p>
      <w:pPr>
        <w:pStyle w:val="Heading3"/>
      </w:pPr>
      <w:r>
        <w:t>步骤5：生成待补充清单。</w:t>
      </w:r>
    </w:p>
    <w:p>
      <w:pPr>
        <w:spacing w:before="0" w:after="60" w:line="300" w:lineRule="auto"/>
      </w:pPr>
      <w:r>
        <w:rPr>
          <w:rFonts w:ascii="等线" w:hAnsi="等线" w:eastAsia="等线"/>
          <w:b w:val="0"/>
          <w:sz w:val="20"/>
        </w:rPr>
        <w:t>围绕“生成待补充清单。”完成必要的参数设置、数据处理或流程配置；运行后保留关键截图、日志或中间结果，便于后续核验。</w:t>
      </w:r>
    </w:p>
    <w:p>
      <w:pPr>
        <w:pStyle w:val="Heading1"/>
      </w:pPr>
      <w:r>
        <w:t>六、成果提交与评价</w:t>
      </w:r>
    </w:p>
    <w:tbl>
      <w:tblPr>
        <w:tblStyle w:val="TableGrid"/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4997"/>
        <w:gridCol w:w="4997"/>
      </w:tblGrid>
      <w:tr>
        <w:tc>
          <w:tcPr>
            <w:tcW w:type="dxa" w:w="4997"/>
            <w:tcW w:w="260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成果证据</w:t>
            </w:r>
          </w:p>
        </w:tc>
        <w:tc>
          <w:tcPr>
            <w:tcW w:type="dxa" w:w="4997"/>
            <w:tcW w:w="67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8EEF5"/>
          </w:tcPr>
          <w:p>
            <w:pPr>
              <w:spacing w:after="0"/>
            </w:pPr>
            <w:r>
              <w:rPr>
                <w:rFonts w:ascii="等线" w:hAnsi="等线" w:eastAsia="等线"/>
                <w:b/>
                <w:color w:val="1F4D78"/>
                <w:sz w:val="18"/>
              </w:rPr>
              <w:t>达标要求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流程与运行记录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流程能够处理标准数据；关键节点命名清楚，出现异常时有记录。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业务结果文件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完整性检查表、待补充材料清单、运行日志。</w:t>
            </w:r>
          </w:p>
        </w:tc>
      </w:tr>
      <w:tr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测试与说明</w:t>
            </w:r>
          </w:p>
        </w:tc>
        <w:tc>
          <w:tcPr>
            <w:tcW w:type="dxa" w:w="4997"/>
          </w:tcPr>
          <w:p>
            <w:pPr>
              <w:spacing w:after="0" w:line="276" w:lineRule="auto"/>
            </w:pPr>
            <w:r>
              <w:rPr>
                <w:rFonts w:ascii="等线" w:hAnsi="等线" w:eastAsia="等线"/>
                <w:b w:val="0"/>
                <w:sz w:val="18"/>
              </w:rPr>
              <w:t>至少完成1组正常测试和1组异常/边界测试，写明预期与实际结果。</w:t>
            </w:r>
          </w:p>
        </w:tc>
      </w:tr>
    </w:tbl>
    <w:p>
      <w:pPr>
        <w:spacing w:after="40"/>
      </w:pPr>
    </w:p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EEF7F1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迁移挑战：</w:t>
            </w:r>
            <w:r>
              <w:rPr>
                <w:rFonts w:ascii="等线" w:hAnsi="等线" w:eastAsia="等线"/>
                <w:b w:val="0"/>
                <w:sz w:val="21"/>
              </w:rPr>
              <w:t>增加同一申请单多张附件的计数校验。</w:t>
            </w:r>
          </w:p>
        </w:tc>
      </w:tr>
    </w:tbl>
    <w:tbl>
      <w:tblPr>
        <w:tblW w:type="auto" w:w="0"/>
        <w:jc w:val="left"/>
        <w:tblLayout w:type="fixed"/>
        <w:tblLook w:firstColumn="1" w:firstRow="1" w:lastColumn="0" w:lastRow="0" w:noHBand="0" w:noVBand="1" w:val="04A0"/>
        <w:tblW w:w="9360" w:type="dxa"/>
        <w:tblInd w:w="120" w:type="dxa"/>
      </w:tblPr>
      <w:tblGrid>
        <w:gridCol w:w="9994"/>
      </w:tblGrid>
      <w:tr>
        <w:tc>
          <w:tcPr>
            <w:tcW w:type="dxa" w:w="9994"/>
            <w:tcW w:w="9360" w:type="dxa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  <w:shd w:fill="FFF6E5"/>
          </w:tcPr>
          <w:p>
            <w:pPr>
              <w:spacing w:after="40" w:line="288" w:lineRule="auto"/>
            </w:pPr>
            <w:r>
              <w:rPr>
                <w:rFonts w:ascii="等线" w:hAnsi="等线" w:eastAsia="等线"/>
                <w:b/>
                <w:color w:val="1F4D78"/>
                <w:sz w:val="21"/>
              </w:rPr>
              <w:t>课堂提示：</w:t>
            </w:r>
            <w:r>
              <w:rPr>
                <w:rFonts w:ascii="等线" w:hAnsi="等线" w:eastAsia="等线"/>
                <w:b w:val="0"/>
                <w:sz w:val="21"/>
              </w:rPr>
              <w:t>先让学生把流程做出来，再追问“该结果能否直接采用、谁需要复核、如何让业务人员看懂”。避免把案例变成只会拖拽组件的练习。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123" w:right="1123" w:bottom="1037" w:left="1123" w:header="432" w:footer="43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等线" w:hAnsi="等线" w:eastAsia="等线"/>
        <w:b w:val="0"/>
        <w:color w:val="6B7280"/>
        <w:sz w:val="17"/>
      </w:rPr>
      <w:t>实践案例 05｜基础｜建议2课时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等线" w:hAnsi="等线" w:eastAsia="等线"/>
        <w:b w:val="0"/>
        <w:color w:val="6B7280"/>
        <w:sz w:val="17"/>
      </w:rPr>
      <w:t>《财务机器人应用与开发》实践案例库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等线" w:hAnsi="等线" w:eastAsia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 w:line="264" w:lineRule="auto"/>
      <w:outlineLvl w:val="0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 w:line="264" w:lineRule="auto"/>
      <w:outlineLvl w:val="1"/>
    </w:pPr>
    <w:rPr>
      <w:rFonts w:asciiTheme="majorHAnsi" w:eastAsiaTheme="majorEastAsia" w:hAnsiTheme="majorHAnsi" w:cstheme="majorBidi" w:ascii="等线" w:hAnsi="等线" w:eastAsia="等线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 w:line="264" w:lineRule="auto"/>
      <w:outlineLvl w:val="2"/>
    </w:pPr>
    <w:rPr>
      <w:rFonts w:asciiTheme="majorHAnsi" w:eastAsiaTheme="majorEastAsia" w:hAnsiTheme="majorHAnsi" w:cstheme="majorBidi" w:ascii="等线" w:hAnsi="等线" w:eastAsia="等线"/>
      <w:b/>
      <w:bCs/>
      <w:color w:val="1F4D78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