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20"/>
        <w:jc w:val="center"/>
      </w:pPr>
      <w:r>
        <w:rPr>
          <w:rFonts w:ascii="等线" w:hAnsi="等线" w:eastAsia="等线"/>
          <w:b/>
          <w:color w:val="2E74B5"/>
          <w:sz w:val="44"/>
        </w:rPr>
        <w:t>费用报销资料智能分类与台账生成</w:t>
      </w:r>
    </w:p>
    <w:p>
      <w:pPr>
        <w:spacing w:before="0" w:after="280" w:line="300" w:lineRule="auto"/>
        <w:jc w:val="center"/>
      </w:pPr>
      <w:r>
        <w:rPr>
          <w:rFonts w:ascii="等线" w:hAnsi="等线" w:eastAsia="等线"/>
          <w:b/>
          <w:color w:val="1F4D78"/>
          <w:sz w:val="22"/>
        </w:rPr>
        <w:t>实践案例 09｜典型层｜建议3课时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案例定位：</w:t>
            </w:r>
            <w:r>
              <w:rPr>
                <w:rFonts w:ascii="等线" w:hAnsi="等线" w:eastAsia="等线"/>
                <w:b w:val="0"/>
                <w:sz w:val="21"/>
              </w:rPr>
              <w:t>面向“文件、Excel与规则自动化”的实操训练。学生在完成可运行流程的同时，形成规则意识、结果核验和异常处理习惯。</w:t>
            </w:r>
          </w:p>
        </w:tc>
      </w:tr>
    </w:tbl>
    <w:p>
      <w:pPr>
        <w:pStyle w:val="Heading1"/>
      </w:pPr>
      <w:r>
        <w:t>一、案例基本信息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tcW w:w="2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项目模块</w:t>
            </w:r>
          </w:p>
        </w:tc>
        <w:tc>
          <w:tcPr>
            <w:tcW w:type="dxa" w:w="2498"/>
            <w:tcW w:w="1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课程目标</w:t>
            </w:r>
          </w:p>
        </w:tc>
        <w:tc>
          <w:tcPr>
            <w:tcW w:type="dxa" w:w="2498"/>
            <w:tcW w:w="25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主要工具</w:t>
            </w:r>
          </w:p>
        </w:tc>
        <w:tc>
          <w:tcPr>
            <w:tcW w:type="dxa" w:w="2498"/>
            <w:tcW w:w="21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难度与课时</w:t>
            </w:r>
          </w:p>
        </w:tc>
      </w:tr>
      <w:tr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文件、Excel与规则自动化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CO1、CO3、CO4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APA、Excel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典型｜3课时</w:t>
            </w:r>
          </w:p>
        </w:tc>
      </w:tr>
    </w:tbl>
    <w:p>
      <w:pPr>
        <w:spacing w:after="40"/>
      </w:pPr>
    </w:p>
    <w:p>
      <w:pPr>
        <w:pStyle w:val="Heading1"/>
      </w:pPr>
      <w:r>
        <w:t>二、工作情境与任务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岗位情境：</w:t>
            </w:r>
            <w:r>
              <w:rPr>
                <w:rFonts w:ascii="等线" w:hAnsi="等线" w:eastAsia="等线"/>
                <w:b w:val="0"/>
                <w:sz w:val="21"/>
              </w:rPr>
              <w:t>一批报销材料包含车票、住宿发票、说明文件和无关附件，审核前需快速形成结构化材料台账。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工作任务：</w:t>
            </w:r>
            <w:r>
              <w:rPr>
                <w:rFonts w:ascii="等线" w:hAnsi="等线" w:eastAsia="等线"/>
                <w:b w:val="0"/>
                <w:sz w:val="21"/>
              </w:rPr>
              <w:t>请依据给定材料和规则，设计并运行自动化流程，完成“扫描文件夹→提取文件属性→分类→关联申请单号→生成材料台账→输出待确认事项。”。</w:t>
            </w:r>
          </w:p>
        </w:tc>
      </w:tr>
    </w:tbl>
    <w:p>
      <w:pPr>
        <w:pStyle w:val="Heading1"/>
      </w:pPr>
      <w:r>
        <w:t>三、学习成果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业务理解：</w:t>
      </w:r>
      <w:r>
        <w:rPr>
          <w:rFonts w:ascii="等线" w:hAnsi="等线" w:eastAsia="等线"/>
          <w:b w:val="0"/>
          <w:sz w:val="21"/>
        </w:rPr>
        <w:t>能够说明本任务的输入、处理规则、输出结果与需人工介入的异常。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技术实施：</w:t>
      </w:r>
      <w:r>
        <w:rPr>
          <w:rFonts w:ascii="等线" w:hAnsi="等线" w:eastAsia="等线"/>
          <w:b w:val="0"/>
          <w:sz w:val="21"/>
        </w:rPr>
        <w:t>能够使用APA及配套工具完成数据读取、规则判断、结果输出和基本日志记录。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质量控制：</w:t>
      </w:r>
      <w:r>
        <w:rPr>
          <w:rFonts w:ascii="等线" w:hAnsi="等线" w:eastAsia="等线"/>
          <w:b w:val="0"/>
          <w:sz w:val="21"/>
        </w:rPr>
        <w:t>能够使用正常、边界或异常数据核验结果，并说明问题处理依据。</w:t>
      </w:r>
    </w:p>
    <w:p>
      <w:pPr>
        <w:pStyle w:val="Heading1"/>
      </w:pPr>
      <w:r>
        <w:t>四、素材包与业务规则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素材包建议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最小字段或内容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输入资料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输入：报销材料文件夹；字段：申请单号、文件名、资料类型、所属报销人、是否需人工确认。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规则依据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依据命名、扩展名和关键词分类；无法归属的文件不得自动删除；同一单据多次出现须标记。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建议数据量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基础案例10—20条记录；典型/综合案例20—50条记录，并至少设置2—3条异常数据。</w:t>
            </w:r>
          </w:p>
        </w:tc>
      </w:tr>
    </w:tbl>
    <w:p>
      <w:pPr>
        <w:spacing w:after="40"/>
      </w:pPr>
    </w:p>
    <w:p>
      <w:pPr>
        <w:pStyle w:val="Heading1"/>
      </w:pPr>
      <w:r>
        <w:t>五、实操任务路径</w:t>
      </w:r>
    </w:p>
    <w:p>
      <w:pPr>
        <w:pStyle w:val="Heading3"/>
      </w:pPr>
      <w:r>
        <w:t>步骤1：扫描文件夹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围绕“扫描文件夹”完成必要的参数设置、数据处理或流程配置；运行后保留关键截图、日志或中间结果，便于后续核验。</w:t>
      </w:r>
    </w:p>
    <w:p>
      <w:pPr>
        <w:pStyle w:val="Heading3"/>
      </w:pPr>
      <w:r>
        <w:t>步骤2：提取文件属性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围绕“提取文件属性”完成必要的参数设置、数据处理或流程配置；运行后保留关键截图、日志或中间结果，便于后续核验。</w:t>
      </w:r>
    </w:p>
    <w:p>
      <w:pPr>
        <w:pStyle w:val="Heading3"/>
      </w:pPr>
      <w:r>
        <w:t>步骤3：分类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围绕“分类”完成必要的参数设置、数据处理或流程配置；运行后保留关键截图、日志或中间结果，便于后续核验。</w:t>
      </w:r>
    </w:p>
    <w:p>
      <w:pPr>
        <w:pStyle w:val="Heading3"/>
      </w:pPr>
      <w:r>
        <w:t>步骤4：关联申请单号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围绕“关联申请单号”完成必要的参数设置、数据处理或流程配置；运行后保留关键截图、日志或中间结果，便于后续核验。</w:t>
      </w:r>
    </w:p>
    <w:p>
      <w:pPr>
        <w:pStyle w:val="Heading3"/>
      </w:pPr>
      <w:r>
        <w:t>步骤5：生成材料台账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围绕“生成材料台账”完成必要的参数设置、数据处理或流程配置；运行后保留关键截图、日志或中间结果，便于后续核验。</w:t>
      </w:r>
    </w:p>
    <w:p>
      <w:pPr>
        <w:pStyle w:val="Heading3"/>
      </w:pPr>
      <w:r>
        <w:t>步骤6：输出待确认事项。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围绕“输出待确认事项。”完成必要的参数设置、数据处理或流程配置；运行后保留关键截图、日志或中间结果，便于后续核验。</w:t>
      </w:r>
    </w:p>
    <w:p>
      <w:pPr>
        <w:pStyle w:val="Heading1"/>
      </w:pPr>
      <w:r>
        <w:t>六、成果提交与评价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成果证据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达标要求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流程与运行记录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流程能够处理标准数据；关键节点命名清楚，出现异常时有记录。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业务结果文件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材料台账.xlsx、待确认事项.xlsx、分类结果文件夹。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测试与说明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至少完成1组正常测试和1组异常/边界测试，写明预期与实际结果。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EF7F1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迁移挑战：</w:t>
            </w:r>
            <w:r>
              <w:rPr>
                <w:rFonts w:ascii="等线" w:hAnsi="等线" w:eastAsia="等线"/>
                <w:b w:val="0"/>
                <w:sz w:val="21"/>
              </w:rPr>
              <w:t>把分类规则改为“项目经费/差旅经费”两类材料。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课堂提示：</w:t>
            </w:r>
            <w:r>
              <w:rPr>
                <w:rFonts w:ascii="等线" w:hAnsi="等线" w:eastAsia="等线"/>
                <w:b w:val="0"/>
                <w:sz w:val="21"/>
              </w:rPr>
              <w:t>先让学生把流程做出来，再追问“该结果能否直接采用、谁需要复核、如何让业务人员看懂”。避免把案例变成只会拖拽组件的练习。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037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等线" w:hAnsi="等线" w:eastAsia="等线"/>
        <w:b w:val="0"/>
        <w:color w:val="6B7280"/>
        <w:sz w:val="17"/>
      </w:rPr>
      <w:t>实践案例 09｜典型｜建议3课时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等线" w:hAnsi="等线" w:eastAsia="等线"/>
        <w:b w:val="0"/>
        <w:color w:val="6B7280"/>
        <w:sz w:val="17"/>
      </w:rPr>
      <w:t>《财务机器人应用与开发》实践案例库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等线" w:hAnsi="等线" w:eastAsia="等线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等线" w:hAnsi="等线" w:eastAsia="等线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