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银行流水与现金日记账自动核对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11｜典型层｜建议4课时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面向“数据匹配与异常识别”的实操训练。学生在完成可运行流程的同时，形成规则意识、结果核验和异常处理习惯。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数据匹配与异常识别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CO1、CO3、CO4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典型｜4课时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出纳每日导出的银行流水与现金日记账存在时间差和摘要不一致，需要先完成基础自动核对。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请依据给定材料和规则，设计并运行自动化流程，完成“清洗两表→构建匹配键→一对一匹配→标记未匹配项→生成对账结果与差异清单。”。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输入：银行流水.xlsx、现金日记账.xlsx；字段：日期、收入/支出、金额、摘要、凭证号。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先按收支方向、金额和日期匹配；日期允许±1天；未匹配记录不自动冲销，形成差异清单。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步骤1：清洗两表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围绕“清洗两表”完成必要的参数设置、数据处理或流程配置；运行后保留关键截图、日志或中间结果，便于后续核验。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步骤2：构建匹配键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围绕“构建匹配键”完成必要的参数设置、数据处理或流程配置；运行后保留关键截图、日志或中间结果，便于后续核验。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步骤3：一对一匹配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围绕“一对一匹配”完成必要的参数设置、数据处理或流程配置；运行后保留关键截图、日志或中间结果，便于后续核验。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步骤4：标记未匹配项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围绕“标记未匹配项”完成必要的参数设置、数据处理或流程配置；运行后保留关键截图、日志或中间结果，便于后续核验。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步骤5：生成对账结果与差异清单。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围绕“生成对账结果与差异清单。”完成必要的参数设置、数据处理或流程配置；运行后保留关键截图、日志或中间结果，便于后续核验。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对账结果.xlsx、未达项清单、匹配规则说明。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增加一对多匹配作为挑战任务，不要求全体学生完成。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11｜典型｜建议4课时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